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80"/>
        <w:jc w:val="left"/>
        <w:rPr>
          <w:rFonts w:ascii="Arial" w:hAnsi="Arial"/>
          <w:lang w:val="de-DE"/>
        </w:rPr>
      </w:pPr>
      <w:r>
        <w:rPr>
          <w:rFonts w:ascii="Arial" w:hAnsi="Arial"/>
          <w:lang w:val="de-DE"/>
        </w:rPr>
        <w:t>Standardarbeitsanweisung (SOP)</w:t>
      </w:r>
    </w:p>
    <w:p>
      <w:pPr>
        <w:pStyle w:val="TextBodynote"/>
        <w:bidi w:val="0"/>
        <w:jc w:val="left"/>
        <w:rPr/>
      </w:pPr>
      <w:r>
        <w:rPr/>
        <w:t>Beispiel-SOP für Northwind, eine erfundene Firma. Screenshots aus einem Demo-Admin-Bereich mit englischer Oberfläche; E-Mail-Adressen unkenntlich gemacht.</w:t>
      </w:r>
    </w:p>
    <w:tbl>
      <w:tblPr>
        <w:tblW w:w="5000" w:type="pct"/>
        <w:jc w:val="left"/>
        <w:tblInd w:w="-7" w:type="dxa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2500"/>
        <w:gridCol w:w="2220"/>
        <w:gridCol w:w="2139"/>
        <w:gridCol w:w="3347"/>
      </w:tblGrid>
      <w:tr>
        <w:trPr/>
        <w:tc>
          <w:tcPr>
            <w:tcW w:w="250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Dokument-Nr.</w:t>
            </w:r>
          </w:p>
        </w:tc>
        <w:tc>
          <w:tcPr>
            <w:tcW w:w="222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NW-OPS-014</w:t>
            </w:r>
          </w:p>
        </w:tc>
        <w:tc>
          <w:tcPr>
            <w:tcW w:w="213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Version</w:t>
            </w:r>
          </w:p>
        </w:tc>
        <w:tc>
          <w:tcPr>
            <w:tcW w:w="334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1.1</w:t>
            </w:r>
          </w:p>
        </w:tc>
      </w:tr>
      <w:tr>
        <w:trPr/>
        <w:tc>
          <w:tcPr>
            <w:tcW w:w="250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Titel</w:t>
            </w:r>
          </w:p>
        </w:tc>
        <w:tc>
          <w:tcPr>
            <w:tcW w:w="7706" w:type="dxa"/>
            <w:gridSpan w:val="3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Rolle eines Nutzers auf Viewer zurücksetzen</w:t>
            </w:r>
          </w:p>
        </w:tc>
      </w:tr>
      <w:tr>
        <w:trPr/>
        <w:tc>
          <w:tcPr>
            <w:tcW w:w="250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Gültig ab</w:t>
            </w:r>
          </w:p>
        </w:tc>
        <w:tc>
          <w:tcPr>
            <w:tcW w:w="222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1. Oktober 2026</w:t>
            </w:r>
          </w:p>
        </w:tc>
        <w:tc>
          <w:tcPr>
            <w:tcW w:w="213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Verantwortlich</w:t>
            </w:r>
          </w:p>
        </w:tc>
        <w:tc>
          <w:tcPr>
            <w:tcW w:w="334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Nina Alvarez, Operations</w:t>
            </w:r>
          </w:p>
        </w:tc>
      </w:tr>
      <w:tr>
        <w:trPr/>
        <w:tc>
          <w:tcPr>
            <w:tcW w:w="2500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Freigegeben von</w:t>
            </w:r>
          </w:p>
        </w:tc>
        <w:tc>
          <w:tcPr>
            <w:tcW w:w="7706" w:type="dxa"/>
            <w:gridSpan w:val="3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Sam Okafor, IT-Leitung</w:t>
            </w:r>
          </w:p>
        </w:tc>
      </w:tr>
    </w:tbl>
    <w:p>
      <w:pPr>
        <w:pStyle w:val="Heading2"/>
        <w:bidi w:val="0"/>
        <w:jc w:val="left"/>
        <w:rPr>
          <w:rFonts w:ascii="Arial" w:hAnsi="Arial"/>
          <w:lang w:val="de-DE"/>
        </w:rPr>
      </w:pPr>
      <w:r>
        <w:rPr>
          <w:rFonts w:ascii="Arial" w:hAnsi="Arial"/>
          <w:lang w:val="de-DE"/>
        </w:rPr>
        <w:t>Zweck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>Bearbeitungsrechte entziehen, die ein Kollege nach dem Wechsel aus dem Content-Team nicht mehr braucht, damit nur aktuelle Redakteure veröffentlichte Inhalte ändern können.</w:t>
      </w:r>
    </w:p>
    <w:p>
      <w:pPr>
        <w:pStyle w:val="Heading2"/>
        <w:bidi w:val="0"/>
        <w:jc w:val="left"/>
        <w:rPr>
          <w:rFonts w:ascii="Arial" w:hAnsi="Arial"/>
          <w:lang w:val="de-DE"/>
        </w:rPr>
      </w:pPr>
      <w:r>
        <w:rPr>
          <w:rFonts w:ascii="Arial" w:hAnsi="Arial"/>
          <w:lang w:val="de-DE"/>
        </w:rPr>
        <w:t>Geltungsbereich</w:t>
      </w:r>
    </w:p>
    <w:tbl>
      <w:tblPr>
        <w:tblW w:w="5000" w:type="pct"/>
        <w:jc w:val="left"/>
        <w:tblInd w:w="-7" w:type="dxa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1722"/>
        <w:gridCol w:w="8484"/>
      </w:tblGrid>
      <w:tr>
        <w:trPr/>
        <w:tc>
          <w:tcPr>
            <w:tcW w:w="1722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Anwenden, wenn</w:t>
            </w:r>
          </w:p>
        </w:tc>
        <w:tc>
          <w:tcPr>
            <w:tcW w:w="848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Ein Ticket der Teamleitung meldet, dass jemand das Content-Team verlassen hat und sein Northwind-Konto behält.</w:t>
            </w:r>
          </w:p>
        </w:tc>
      </w:tr>
      <w:tr>
        <w:trPr/>
        <w:tc>
          <w:tcPr>
            <w:tcW w:w="1722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Nicht für</w:t>
            </w:r>
          </w:p>
        </w:tc>
        <w:tc>
          <w:tcPr>
            <w:tcW w:w="848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Austritte. Wer Northwind verlässt, wird deaktiviert, nicht auf Viewer gesetzt; dafür gibt es eine eigene SOP.</w:t>
            </w:r>
          </w:p>
        </w:tc>
      </w:tr>
    </w:tbl>
    <w:p>
      <w:pPr>
        <w:pStyle w:val="Heading2"/>
        <w:bidi w:val="0"/>
        <w:jc w:val="left"/>
        <w:rPr>
          <w:rFonts w:ascii="Arial" w:hAnsi="Arial"/>
          <w:lang w:val="de-DE"/>
        </w:rPr>
      </w:pPr>
      <w:r>
        <w:rPr>
          <w:rFonts w:ascii="Arial" w:hAnsi="Arial"/>
          <w:lang w:val="de-DE"/>
        </w:rPr>
        <w:t>Rollen und Verantwortlichkeiten</w:t>
      </w:r>
    </w:p>
    <w:tbl>
      <w:tblPr>
        <w:tblW w:w="5000" w:type="pct"/>
        <w:jc w:val="left"/>
        <w:tblInd w:w="-7" w:type="dxa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3061"/>
        <w:gridCol w:w="7145"/>
      </w:tblGrid>
      <w:tr>
        <w:trPr/>
        <w:tc>
          <w:tcPr>
            <w:tcW w:w="3061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Operations (Admin-Rolle)</w:t>
            </w:r>
          </w:p>
        </w:tc>
        <w:tc>
          <w:tcPr>
            <w:tcW w:w="714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Führt die Schritte 1 bis 5 aus und schließt das Ticket.</w:t>
            </w:r>
          </w:p>
        </w:tc>
      </w:tr>
      <w:tr>
        <w:trPr/>
        <w:tc>
          <w:tcPr>
            <w:tcW w:w="306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Teamleitung</w:t>
            </w:r>
          </w:p>
        </w:tc>
        <w:tc>
          <w:tcPr>
            <w:tcW w:w="714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Eröffnet das Ticket mit der E-Mail-Adresse des Kollegen und der neuen Rolle.</w:t>
            </w:r>
          </w:p>
        </w:tc>
      </w:tr>
      <w:tr>
        <w:trPr/>
        <w:tc>
          <w:tcPr>
            <w:tcW w:w="3061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Nina Alvarez, verantwortlich</w:t>
            </w:r>
          </w:p>
        </w:tc>
        <w:tc>
          <w:tcPr>
            <w:tcW w:w="714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Hält diese SOP aktuell; Ansprechperson bei Fehlern.</w:t>
            </w:r>
          </w:p>
        </w:tc>
      </w:tr>
    </w:tbl>
    <w:p>
      <w:pPr>
        <w:pStyle w:val="Heading2"/>
        <w:bidi w:val="0"/>
        <w:jc w:val="left"/>
        <w:rPr>
          <w:rFonts w:ascii="Arial" w:hAnsi="Arial"/>
          <w:lang w:val="de-DE"/>
        </w:rPr>
      </w:pPr>
      <w:r>
        <w:rPr>
          <w:rFonts w:ascii="Arial" w:hAnsi="Arial"/>
          <w:lang w:val="de-DE"/>
        </w:rPr>
        <w:t>Voraussetzungen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Admin-Rolle im Northwind-Admin-Bereich (unten links unter Ihrem Namen zu sehen).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 xml:space="preserve">Das Ticket der Teamleitung mit der E-Mail-Adresse, neben dem Admin-Bereich geöffnet. </w:t>
      </w:r>
    </w:p>
    <w:p>
      <w:pPr>
        <w:pStyle w:val="Heading2"/>
        <w:bidi w:val="0"/>
        <w:jc w:val="left"/>
        <w:rPr>
          <w:rFonts w:ascii="Arial" w:hAnsi="Arial"/>
          <w:lang w:val="de-DE"/>
        </w:rPr>
      </w:pPr>
      <w:r>
        <w:rPr>
          <w:rFonts w:ascii="Arial" w:hAnsi="Arial"/>
          <w:lang w:val="de-DE"/>
        </w:rPr>
        <w:t>Schritte</w:t>
      </w:r>
    </w:p>
    <w:tbl>
      <w:tblPr>
        <w:tblW w:w="5000" w:type="pct"/>
        <w:jc w:val="left"/>
        <w:tblInd w:w="-7" w:type="dxa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612"/>
        <w:gridCol w:w="2756"/>
        <w:gridCol w:w="4286"/>
        <w:gridCol w:w="2552"/>
      </w:tblGrid>
      <w:tr>
        <w:trPr/>
        <w:tc>
          <w:tcPr>
            <w:tcW w:w="612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Nr.</w:t>
            </w:r>
          </w:p>
        </w:tc>
        <w:tc>
          <w:tcPr>
            <w:tcW w:w="275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Handlung</w:t>
            </w:r>
          </w:p>
        </w:tc>
        <w:tc>
          <w:tcPr>
            <w:tcW w:w="428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Screenshot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Ergebnis</w:t>
            </w:r>
          </w:p>
        </w:tc>
      </w:tr>
      <w:tr>
        <w:trPr/>
        <w:tc>
          <w:tcPr>
            <w:tcW w:w="61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</w:t>
            </w:r>
          </w:p>
        </w:tc>
        <w:tc>
          <w:tcPr>
            <w:tcW w:w="275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Im Menü links auf </w:t>
            </w:r>
            <w:r>
              <w:rPr>
                <w:b/>
                <w:lang w:val="de-DE"/>
              </w:rPr>
              <w:t>Users</w:t>
            </w:r>
            <w:r>
              <w:rPr/>
              <w:t xml:space="preserve"> klicken.</w:t>
            </w:r>
          </w:p>
        </w:tc>
        <w:tc>
          <w:tcPr>
            <w:tcW w:w="428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drawing>
                <wp:inline distT="0" distB="0" distL="0" distR="0">
                  <wp:extent cx="1905000" cy="1123950"/>
                  <wp:effectExtent l="0" t="0" r="0" b="0"/>
                  <wp:docPr id="1" name="Imag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Die Seite Users öffnet sich mit der Liste aller Nutzer.</w:t>
            </w:r>
          </w:p>
        </w:tc>
      </w:tr>
      <w:tr>
        <w:trPr/>
        <w:tc>
          <w:tcPr>
            <w:tcW w:w="61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</w:t>
            </w:r>
          </w:p>
        </w:tc>
        <w:tc>
          <w:tcPr>
            <w:tcW w:w="275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In </w:t>
            </w:r>
            <w:r>
              <w:rPr>
                <w:b/>
                <w:lang w:val="de-DE"/>
              </w:rPr>
              <w:t>Search by email</w:t>
            </w:r>
            <w:r>
              <w:rPr/>
              <w:t xml:space="preserve"> die E-Mail-Adresse aus dem Ticket eingeben.</w:t>
            </w:r>
          </w:p>
        </w:tc>
        <w:tc>
          <w:tcPr>
            <w:tcW w:w="428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drawing>
                <wp:inline distT="0" distB="0" distL="0" distR="0">
                  <wp:extent cx="1905000" cy="1123950"/>
                  <wp:effectExtent l="0" t="0" r="0" b="0"/>
                  <wp:docPr id="2" name="Image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Nur diese Zeile bleibt in der Liste, mit der Rolle Editor.</w:t>
            </w:r>
          </w:p>
        </w:tc>
      </w:tr>
      <w:tr>
        <w:trPr/>
        <w:tc>
          <w:tcPr>
            <w:tcW w:w="61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3</w:t>
            </w:r>
          </w:p>
        </w:tc>
        <w:tc>
          <w:tcPr>
            <w:tcW w:w="275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Auf den Namen klicken.</w:t>
            </w:r>
          </w:p>
        </w:tc>
        <w:tc>
          <w:tcPr>
            <w:tcW w:w="428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drawing>
                <wp:inline distT="0" distB="0" distL="0" distR="0">
                  <wp:extent cx="1905000" cy="1123950"/>
                  <wp:effectExtent l="0" t="0" r="0" b="0"/>
                  <wp:docPr id="3" name="Image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Die Details öffnen sich über der Liste und zeigen Role: Editor.</w:t>
            </w:r>
          </w:p>
        </w:tc>
      </w:tr>
      <w:tr>
        <w:trPr/>
        <w:tc>
          <w:tcPr>
            <w:tcW w:w="61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4</w:t>
            </w:r>
          </w:p>
        </w:tc>
        <w:tc>
          <w:tcPr>
            <w:tcW w:w="275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Unter </w:t>
            </w:r>
            <w:r>
              <w:rPr>
                <w:b/>
                <w:lang w:val="de-DE"/>
              </w:rPr>
              <w:t>Role</w:t>
            </w:r>
            <w:r>
              <w:rPr/>
              <w:t xml:space="preserve"> den Eintrag </w:t>
            </w:r>
            <w:r>
              <w:rPr>
                <w:b/>
                <w:lang w:val="de-DE"/>
              </w:rPr>
              <w:t>Role: Viewer</w:t>
            </w:r>
            <w:r>
              <w:rPr/>
              <w:t xml:space="preserve"> wählen.</w:t>
            </w:r>
          </w:p>
        </w:tc>
        <w:tc>
          <w:tcPr>
            <w:tcW w:w="428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drawing>
                <wp:inline distT="0" distB="0" distL="0" distR="0">
                  <wp:extent cx="1905000" cy="1123950"/>
                  <wp:effectExtent l="0" t="0" r="0" b="0"/>
                  <wp:docPr id="4" name="Image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Das Feld Role zeigt Viewer; die Liste darunter zeigt bis zum Speichern noch Editor.</w:t>
            </w:r>
          </w:p>
        </w:tc>
      </w:tr>
      <w:tr>
        <w:trPr/>
        <w:tc>
          <w:tcPr>
            <w:tcW w:w="612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5</w:t>
            </w:r>
          </w:p>
        </w:tc>
        <w:tc>
          <w:tcPr>
            <w:tcW w:w="275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Auf </w:t>
            </w:r>
            <w:r>
              <w:rPr>
                <w:b/>
                <w:lang w:val="de-DE"/>
              </w:rPr>
              <w:t>Save changes</w:t>
            </w:r>
            <w:r>
              <w:rPr/>
              <w:t xml:space="preserve"> klicken.</w:t>
            </w:r>
          </w:p>
        </w:tc>
        <w:tc>
          <w:tcPr>
            <w:tcW w:w="428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drawing>
                <wp:inline distT="0" distB="0" distL="0" distR="0">
                  <wp:extent cx="1905000" cy="1123950"/>
                  <wp:effectExtent l="0" t="0" r="0" b="0"/>
                  <wp:docPr id="5" name="Image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Neben den Schaltflächen erscheint „Role updated“.</w:t>
            </w:r>
          </w:p>
        </w:tc>
      </w:tr>
    </w:tbl>
    <w:p>
      <w:pPr>
        <w:pStyle w:val="Heading2"/>
        <w:bidi w:val="0"/>
        <w:jc w:val="left"/>
        <w:rPr>
          <w:rFonts w:ascii="Arial" w:hAnsi="Arial"/>
          <w:lang w:val="de-DE"/>
        </w:rPr>
      </w:pPr>
      <w:r>
        <w:rPr>
          <w:rFonts w:ascii="Arial" w:hAnsi="Arial"/>
          <w:lang w:val="de-DE"/>
        </w:rPr>
        <w:t>Erwartetes Ergebnis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 xml:space="preserve">In </w:t>
      </w:r>
      <w:r>
        <w:rPr>
          <w:b/>
          <w:lang w:val="de-DE"/>
        </w:rPr>
        <w:t>All users</w:t>
      </w:r>
      <w:r>
        <w:rPr/>
        <w:t xml:space="preserve"> zeigt die Zeile die Rolle </w:t>
      </w:r>
      <w:r>
        <w:rPr>
          <w:b/>
          <w:lang w:val="de-DE"/>
        </w:rPr>
        <w:t>Viewer</w:t>
      </w:r>
      <w:r>
        <w:rPr/>
        <w:t>. Das Ticket mit einem Vermerk der Änderung schließen.</w:t>
      </w:r>
    </w:p>
    <w:p>
      <w:pPr>
        <w:pStyle w:val="Heading2"/>
        <w:bidi w:val="0"/>
        <w:jc w:val="left"/>
        <w:rPr>
          <w:rFonts w:ascii="Arial" w:hAnsi="Arial"/>
          <w:lang w:val="de-DE"/>
        </w:rPr>
      </w:pPr>
      <w:r>
        <w:rPr>
          <w:rFonts w:ascii="Arial" w:hAnsi="Arial"/>
          <w:lang w:val="de-DE"/>
        </w:rPr>
        <w:t>Bei Fehlern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Die Liste Role lässt sich nicht ändern oder Save changes tut nichts: Ihr eigenes Konto ist kein Admin. Nina Alvarez fragen.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 xml:space="preserve">In Schritt 2 erscheint keine Zeile: die E-Mail-Adresse im Ticket auf Tippfehler prüfen, dann nach dem Vornamen suchen. </w:t>
      </w:r>
    </w:p>
    <w:p>
      <w:pPr>
        <w:pStyle w:val="Heading2"/>
        <w:bidi w:val="0"/>
        <w:jc w:val="left"/>
        <w:rPr>
          <w:rFonts w:ascii="Arial" w:hAnsi="Arial"/>
          <w:lang w:val="de-DE"/>
        </w:rPr>
      </w:pPr>
      <w:r>
        <w:rPr>
          <w:rFonts w:ascii="Arial" w:hAnsi="Arial"/>
          <w:lang w:val="de-DE"/>
        </w:rPr>
        <w:t>Änderungshistorie</w:t>
      </w:r>
    </w:p>
    <w:tbl>
      <w:tblPr>
        <w:tblW w:w="5000" w:type="pct"/>
        <w:jc w:val="left"/>
        <w:tblInd w:w="-7" w:type="dxa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904"/>
        <w:gridCol w:w="1676"/>
        <w:gridCol w:w="6511"/>
        <w:gridCol w:w="1115"/>
      </w:tblGrid>
      <w:tr>
        <w:trPr/>
        <w:tc>
          <w:tcPr>
            <w:tcW w:w="904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Version</w:t>
            </w:r>
          </w:p>
        </w:tc>
        <w:tc>
          <w:tcPr>
            <w:tcW w:w="167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Datum</w:t>
            </w:r>
          </w:p>
        </w:tc>
        <w:tc>
          <w:tcPr>
            <w:tcW w:w="651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Änderung</w:t>
            </w:r>
          </w:p>
        </w:tc>
        <w:tc>
          <w:tcPr>
            <w:tcW w:w="111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Von</w:t>
            </w:r>
          </w:p>
        </w:tc>
      </w:tr>
      <w:tr>
        <w:trPr/>
        <w:tc>
          <w:tcPr>
            <w:tcW w:w="90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1.0</w:t>
            </w:r>
          </w:p>
        </w:tc>
        <w:tc>
          <w:tcPr>
            <w:tcW w:w="167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14. September 2026</w:t>
            </w:r>
          </w:p>
        </w:tc>
        <w:tc>
          <w:tcPr>
            <w:tcW w:w="651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Erste Fassung</w:t>
            </w:r>
          </w:p>
        </w:tc>
        <w:tc>
          <w:tcPr>
            <w:tcW w:w="111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Nina Alvarez</w:t>
            </w:r>
          </w:p>
        </w:tc>
      </w:tr>
      <w:tr>
        <w:trPr/>
        <w:tc>
          <w:tcPr>
            <w:tcW w:w="904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1.1</w:t>
            </w:r>
          </w:p>
        </w:tc>
        <w:tc>
          <w:tcPr>
            <w:tcW w:w="167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1. Oktober 2026</w:t>
            </w:r>
          </w:p>
        </w:tc>
        <w:tc>
          <w:tcPr>
            <w:tcW w:w="651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Schritt 5: Schaltfläche nach einem App-Update von „Save“ in „Save changes“ umbenannt; Screenshot ersetzt</w:t>
            </w:r>
          </w:p>
        </w:tc>
        <w:tc>
          <w:tcPr>
            <w:tcW w:w="111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Nina Alvarez</w:t>
            </w:r>
          </w:p>
        </w:tc>
      </w:tr>
    </w:tbl>
    <w:p>
      <w:pPr>
        <w:pStyle w:val="TextBody"/>
        <w:bidi w:val="0"/>
        <w:spacing w:lineRule="auto" w:line="276" w:before="0" w:after="140"/>
        <w:jc w:val="left"/>
        <w:rPr/>
      </w:pPr>
      <w:r>
        <w:rPr/>
      </w:r>
    </w:p>
    <w:sectPr>
      <w:footerReference w:type="default" r:id="rId7"/>
      <w:type w:val="nextPage"/>
      <w:pgSz w:w="11906" w:h="16838"/>
      <w:pgMar w:left="850" w:right="850" w:gutter="0" w:header="0" w:top="850" w:footer="850" w:bottom="1204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Arial">
    <w:charset w:val="01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jc w:val="right"/>
      <w:rPr/>
    </w:pPr>
    <w:r>
      <w:rPr/>
      <w:t xml:space="preserve">NW-OPS-014 · Version 1.1 · Seite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  <w:r>
      <w:rPr/>
      <w:t xml:space="preserve"> von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lang w:val="de-DE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lang w:val="de-DE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lang w:val="de-DE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lang w:val="de-DE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lang w:val="de-DE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lang w:val="de-DE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lang w:val="de-DE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lang w:val="de-DE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lang w:val="de-DE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lang w:val="de-DE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lang w:val="de-DE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lang w:val="de-DE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lang w:val="de-DE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lang w:val="de-DE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lang w:val="de-DE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lang w:val="de-DE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lang w:val="de-DE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lang w:val="de-D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de-D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Arial;Helvetica;sans-serif" w:hAnsi="Arial;Helvetica;sans-serif" w:eastAsia="Arial;Helvetica;sans-serif" w:cs="Arial;Helvetica;sans-serif"/>
      <w:color w:val="1B1B1B"/>
      <w:sz w:val="21"/>
      <w:szCs w:val="21"/>
      <w:lang w:val="de-DE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0"/>
      </w:numPr>
      <w:spacing w:before="240" w:after="80"/>
      <w:outlineLvl w:val="0"/>
    </w:pPr>
    <w:rPr>
      <w:rFonts w:ascii="Liberation Serif" w:hAnsi="Liberation Serif" w:eastAsia="Noto Serif CJK SC" w:cs="FreeSans"/>
      <w:b/>
      <w:bCs/>
      <w:sz w:val="36"/>
      <w:szCs w:val="36"/>
      <w:lang w:val="de-DE"/>
    </w:rPr>
  </w:style>
  <w:style w:type="paragraph" w:styleId="Heading2">
    <w:name w:val="Heading 2"/>
    <w:basedOn w:val="Heading"/>
    <w:next w:val="TextBody"/>
    <w:qFormat/>
    <w:pPr>
      <w:numPr>
        <w:ilvl w:val="0"/>
        <w:numId w:val="0"/>
      </w:numPr>
      <w:spacing w:before="160" w:after="60"/>
      <w:ind w:left="160" w:right="160" w:hanging="0"/>
      <w:outlineLvl w:val="1"/>
    </w:pPr>
    <w:rPr>
      <w:rFonts w:ascii="Arial;Helvetica;sans-serif" w:hAnsi="Arial;Helvetica;sans-serif" w:eastAsia="Arial;Helvetica;sans-serif" w:cs="Arial;Helvetica;sans-serif"/>
      <w:b/>
      <w:bCs/>
      <w:sz w:val="25"/>
      <w:szCs w:val="25"/>
      <w:lang w:val="de-DE"/>
    </w:rPr>
  </w:style>
  <w:style w:type="character" w:styleId="Bullets">
    <w:name w:val="Bullets"/>
    <w:qFormat/>
    <w:rPr>
      <w:rFonts w:ascii="OpenSymbol" w:hAnsi="OpenSymbol" w:eastAsia="OpenSymbol" w:cs="OpenSymbol"/>
      <w:lang w:val="de-D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  <w:lang w:val="de-DE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FreeSans"/>
      <w:lang w:val="de-DE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  <w:lang w:val="de-DE"/>
    </w:rPr>
  </w:style>
  <w:style w:type="paragraph" w:styleId="Index">
    <w:name w:val="Index"/>
    <w:basedOn w:val="Normal"/>
    <w:qFormat/>
    <w:pPr>
      <w:suppressLineNumbers/>
    </w:pPr>
    <w:rPr>
      <w:rFonts w:cs="FreeSans"/>
      <w:lang w:val="de-DE"/>
    </w:rPr>
  </w:style>
  <w:style w:type="paragraph" w:styleId="TextBodynote">
    <w:name w:val="Text Body.note"/>
    <w:basedOn w:val="TextBody"/>
    <w:qFormat/>
    <w:pPr/>
    <w:rPr>
      <w:i/>
      <w:iCs/>
      <w:color w:val="666666"/>
      <w:lang w:val="de-DE"/>
    </w:rPr>
  </w:style>
  <w:style w:type="paragraph" w:styleId="TableContents">
    <w:name w:val="Table Contents"/>
    <w:basedOn w:val="Normal"/>
    <w:qFormat/>
    <w:pPr>
      <w:widowControl w:val="false"/>
      <w:suppressLineNumbers/>
      <w:jc w:val="left"/>
    </w:pPr>
    <w:rPr/>
  </w:style>
  <w:style w:type="paragraph" w:styleId="TableHeading">
    <w:name w:val="Table Heading"/>
    <w:basedOn w:val="TableContents"/>
    <w:qFormat/>
    <w:pPr>
      <w:suppressLineNumbers/>
      <w:jc w:val="left"/>
    </w:pPr>
    <w:rPr>
      <w:b/>
      <w:bCs/>
      <w:lang w:val="de-DE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pPr>
      <w:widowControl w:val="false"/>
      <w:kinsoku w:val="true"/>
      <w:overflowPunct w:val="true"/>
      <w:autoSpaceDE w:val="true"/>
      <w:bidi w:val="0"/>
      <w:jc w:val="right"/>
    </w:pPr>
    <w:rPr>
      <w:rFonts w:ascii="Arial" w:hAnsi="Arial" w:eastAsia="Noto Serif CJK SC" w:cs="FreeSans"/>
      <w:color w:val="666666"/>
      <w:sz w:val="16"/>
      <w:szCs w:val="24"/>
      <w:lang w:val="de-DE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2</Pages>
  <Words>353</Words>
  <Characters>2100</Characters>
  <CharactersWithSpaces>2384</CharactersWithSpaces>
  <Paragraphs>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NW-OPS-014 Rolle eines Nutzers auf Viewer zurücksetzen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