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left"/>
        <w:rPr/>
      </w:pPr>
      <w:r>
        <w:rPr/>
        <w:t>Job Aid (Arbeitshilfe): Bezahlte Bestellung erstatten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0"/>
        <w:gridCol w:w="7672"/>
      </w:tblGrid>
      <w:tr>
        <w:trPr/>
        <w:tc>
          <w:tcPr>
            <w:tcW w:w="2420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Für</w:t>
            </w:r>
          </w:p>
        </w:tc>
        <w:tc>
          <w:tcPr>
            <w:tcW w:w="7672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Mitarbeitende im Zahlungsverkehr, die in Paynest schon einmal erstattet haben.</w:t>
            </w:r>
          </w:p>
        </w:tc>
      </w:tr>
      <w:tr>
        <w:trPr/>
        <w:tc>
          <w:tcPr>
            <w:tcW w:w="2420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Vor dem Start</w:t>
            </w:r>
          </w:p>
        </w:tc>
        <w:tc>
          <w:tcPr>
            <w:tcW w:w="7672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Die genehmigte Anfrage öffnen: Sie brauchen Bestellnummer und Grund.</w:t>
            </w:r>
          </w:p>
        </w:tc>
      </w:tr>
    </w:tbl>
    <w:p>
      <w:pPr>
        <w:pStyle w:val="Heading2"/>
        <w:numPr>
          <w:ilvl w:val="0"/>
          <w:numId w:val="0"/>
        </w:numPr>
        <w:bidi w:val="0"/>
        <w:spacing w:before="240" w:after="80"/>
        <w:ind w:left="0" w:right="240" w:hanging="0"/>
        <w:jc w:val="left"/>
        <w:rPr/>
      </w:pPr>
      <w:r>
        <w:rPr/>
        <w:t>Schritte</w:t>
      </w:r>
    </w:p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806"/>
        <w:gridCol w:w="9286"/>
      </w:tblGrid>
      <w:tr>
        <w:trPr/>
        <w:tc>
          <w:tcPr>
            <w:tcW w:w="806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Nr.</w:t>
            </w:r>
          </w:p>
        </w:tc>
        <w:tc>
          <w:tcPr>
            <w:tcW w:w="9286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Handlung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1</w:t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</w:t>
            </w:r>
            <w:r>
              <w:rPr>
                <w:b/>
                <w:lang w:val="de-DE"/>
              </w:rPr>
              <w:t>Search orders</w:t>
            </w:r>
            <w:r>
              <w:rPr/>
              <w:t xml:space="preserve"> die Bestellnummer aus der Anfrage eingeben.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2</w:t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Die Zeile der Bestellung anklicken. Prüfen: Kunde und Betrag passen zur Anfrage, Status ist </w:t>
            </w:r>
            <w:r>
              <w:rPr>
                <w:b/>
                <w:lang w:val="de-DE"/>
              </w:rPr>
              <w:t>Paid</w:t>
            </w:r>
            <w:r>
              <w:rPr/>
              <w:t>.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bidi w:val="0"/>
              <w:jc w:val="left"/>
              <w:rPr>
                <w:sz w:val="4"/>
                <w:szCs w:val="4"/>
                <w:lang w:val="de-DE"/>
              </w:rPr>
            </w:pPr>
            <w:r>
              <w:rPr>
                <w:sz w:val="4"/>
                <w:szCs w:val="4"/>
                <w:lang w:val="de-DE"/>
              </w:rPr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drawing>
                <wp:inline distT="0" distB="0" distL="0" distR="0">
                  <wp:extent cx="5524500" cy="847725"/>
                  <wp:effectExtent l="0" t="0" r="0" b="0"/>
                  <wp:docPr id="1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0" cy="847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/>
              <w:br/>
            </w:r>
            <w:r>
              <w:rPr>
                <w:i/>
                <w:color w:val="666666"/>
                <w:lang w:val="de-DE"/>
              </w:rPr>
              <w:t>Schritt 2: die Zeile, die vor allem anderen zu prüfen ist. Der Status muss Paid lauten.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3</w:t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den Details </w:t>
            </w:r>
            <w:r>
              <w:rPr>
                <w:b/>
                <w:lang w:val="de-DE"/>
              </w:rPr>
              <w:t>Actions</w:t>
            </w:r>
            <w:r>
              <w:rPr/>
              <w:t xml:space="preserve"> &gt; </w:t>
            </w:r>
            <w:r>
              <w:rPr>
                <w:b/>
                <w:lang w:val="de-DE"/>
              </w:rPr>
              <w:t>Issue refund</w:t>
            </w:r>
            <w:r>
              <w:rPr/>
              <w:t xml:space="preserve"> wählen.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</w:t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In </w:t>
            </w:r>
            <w:r>
              <w:rPr>
                <w:b/>
                <w:lang w:val="de-DE"/>
              </w:rPr>
              <w:t>Refund note</w:t>
            </w:r>
            <w:r>
              <w:rPr/>
              <w:t xml:space="preserve"> den Grund aus der Anfrage eingeben.</w:t>
            </w:r>
          </w:p>
        </w:tc>
      </w:tr>
      <w:tr>
        <w:trPr/>
        <w:tc>
          <w:tcPr>
            <w:tcW w:w="10092" w:type="dxa"/>
            <w:gridSpan w:val="2"/>
            <w:tcBorders>
              <w:top w:val="single" w:sz="12" w:space="0" w:color="B3261E"/>
              <w:left w:val="single" w:sz="12" w:space="0" w:color="B3261E"/>
              <w:bottom w:val="single" w:sz="12" w:space="0" w:color="B3261E"/>
              <w:right w:val="single" w:sz="12" w:space="0" w:color="B3261E"/>
            </w:tcBorders>
            <w:tcMar>
              <w:top w:w="100" w:type="dxa"/>
              <w:left w:w="140" w:type="dxa"/>
              <w:bottom w:w="100" w:type="dxa"/>
              <w:right w:w="140" w:type="dxa"/>
            </w:tcMar>
            <w:vAlign w:val="center"/>
          </w:tcPr>
          <w:p>
            <w:pPr>
              <w:pStyle w:val="TableContents"/>
              <w:bidi w:val="0"/>
              <w:jc w:val="left"/>
              <w:rPr>
                <w:b/>
                <w:lang w:val="de-DE"/>
              </w:rPr>
            </w:pPr>
            <w:r>
              <w:rPr>
                <w:b/>
                <w:lang w:val="de-DE"/>
              </w:rPr>
              <w:t>Warnung: Eine gespeicherte Erstattung lässt sich nicht zurücknehmen. Die Bestellnummer noch einmal prüfen.</w:t>
            </w:r>
          </w:p>
        </w:tc>
      </w:tr>
      <w:tr>
        <w:trPr/>
        <w:tc>
          <w:tcPr>
            <w:tcW w:w="806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5</w:t>
            </w:r>
          </w:p>
        </w:tc>
        <w:tc>
          <w:tcPr>
            <w:tcW w:w="9286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 xml:space="preserve">Auf </w:t>
            </w:r>
            <w:r>
              <w:rPr>
                <w:b/>
                <w:lang w:val="de-DE"/>
              </w:rPr>
              <w:t>Save refund</w:t>
            </w:r>
            <w:r>
              <w:rPr/>
              <w:t xml:space="preserve"> klicken.</w:t>
            </w:r>
          </w:p>
        </w:tc>
      </w:tr>
    </w:tbl>
    <w:tbl>
      <w:tblPr>
        <w:tblW w:w="5000" w:type="pct"/>
        <w:jc w:val="left"/>
        <w:tblInd w:w="-7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2421"/>
        <w:gridCol w:w="7671"/>
      </w:tblGrid>
      <w:tr>
        <w:trPr/>
        <w:tc>
          <w:tcPr>
            <w:tcW w:w="2421" w:type="dxa"/>
            <w:tcBorders>
              <w:top w:val="single" w:sz="6" w:space="0" w:color="808080"/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Fertig, wenn</w:t>
            </w:r>
          </w:p>
        </w:tc>
        <w:tc>
          <w:tcPr>
            <w:tcW w:w="7671" w:type="dxa"/>
            <w:tcBorders>
              <w:top w:val="single" w:sz="6" w:space="0" w:color="808080"/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Unten links erscheint „Refund saved“ mit Bestellnummer und Betrag.</w:t>
            </w:r>
          </w:p>
        </w:tc>
      </w:tr>
      <w:tr>
        <w:trPr/>
        <w:tc>
          <w:tcPr>
            <w:tcW w:w="2421" w:type="dxa"/>
            <w:tcBorders>
              <w:left w:val="single" w:sz="6" w:space="0" w:color="808080"/>
              <w:bottom w:val="single" w:sz="2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Vollständige SOP</w:t>
            </w:r>
          </w:p>
        </w:tc>
        <w:tc>
          <w:tcPr>
            <w:tcW w:w="7671" w:type="dxa"/>
            <w:tcBorders>
              <w:left w:val="single" w:sz="2" w:space="0" w:color="808080"/>
              <w:bottom w:val="single" w:sz="2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„</w:t>
            </w:r>
            <w:r>
              <w:rPr/>
              <w:t>Bezahlte Bestellung erstatten“, Ordner Finanz-SOPs. Verantwortlich: Lena, Leitung Finanzen.</w:t>
            </w:r>
          </w:p>
        </w:tc>
      </w:tr>
      <w:tr>
        <w:trPr/>
        <w:tc>
          <w:tcPr>
            <w:tcW w:w="2421" w:type="dxa"/>
            <w:tcBorders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fill="ECECEC" w:val="clear"/>
          </w:tcPr>
          <w:p>
            <w:pPr>
              <w:pStyle w:val="TableHeading"/>
              <w:bidi w:val="0"/>
              <w:jc w:val="left"/>
              <w:rPr/>
            </w:pPr>
            <w:r>
              <w:rPr/>
              <w:t>Zuletzt geprüft</w:t>
            </w:r>
          </w:p>
        </w:tc>
        <w:tc>
          <w:tcPr>
            <w:tcW w:w="7671" w:type="dxa"/>
            <w:tcBorders>
              <w:left w:val="single" w:sz="2" w:space="0" w:color="808080"/>
              <w:bottom w:val="single" w:sz="6" w:space="0" w:color="808080"/>
              <w:right w:val="single" w:sz="6" w:space="0" w:color="808080"/>
            </w:tcBorders>
          </w:tcPr>
          <w:p>
            <w:pPr>
              <w:pStyle w:val="TableContents"/>
              <w:widowControl w:val="false"/>
              <w:suppressLineNumbers/>
              <w:bidi w:val="0"/>
              <w:jc w:val="left"/>
              <w:rPr/>
            </w:pPr>
            <w:r>
              <w:rPr/>
              <w:t>4. Oktober 2026</w:t>
            </w:r>
          </w:p>
        </w:tc>
      </w:tr>
    </w:tbl>
    <w:p>
      <w:pPr>
        <w:pStyle w:val="TextBody"/>
        <w:bidi w:val="0"/>
        <w:spacing w:lineRule="auto" w:line="276" w:before="0" w:after="140"/>
        <w:jc w:val="left"/>
        <w:rPr/>
      </w:pPr>
      <w:r>
        <w:rPr/>
      </w:r>
    </w:p>
    <w:sectPr>
      <w:type w:val="nextPage"/>
      <w:pgSz w:w="11906" w:h="16838"/>
      <w:pgMar w:left="907" w:right="907" w:gutter="0" w:header="0" w:top="907" w:footer="0" w:bottom="907"/>
      <w:pgNumType w:fmt="decimal"/>
      <w:formProt w:val="false"/>
      <w:textDirection w:val="lrTb"/>
      <w:docGrid w:type="default" w:linePitch="600" w:charSpace="3891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Helvetica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FreeSans"/>
        <w:sz w:val="24"/>
        <w:szCs w:val="24"/>
        <w:lang w:val="de-DE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kinsoku w:val="true"/>
      <w:overflowPunct w:val="true"/>
      <w:autoSpaceDE w:val="true"/>
      <w:bidi w:val="0"/>
    </w:pPr>
    <w:rPr>
      <w:rFonts w:ascii="Arial;Helvetica;sans-serif" w:hAnsi="Arial;Helvetica;sans-serif" w:eastAsia="Arial;Helvetica;sans-serif" w:cs="Arial;Helvetica;sans-serif"/>
      <w:color w:val="1B1B1B"/>
      <w:sz w:val="21"/>
      <w:szCs w:val="21"/>
      <w:lang w:val="de-DE" w:eastAsia="zh-CN" w:bidi="hi-IN"/>
    </w:rPr>
  </w:style>
  <w:style w:type="paragraph" w:styleId="Heading1">
    <w:name w:val="Heading 1"/>
    <w:basedOn w:val="Heading"/>
    <w:next w:val="TextBody"/>
    <w:qFormat/>
    <w:pPr>
      <w:numPr>
        <w:ilvl w:val="0"/>
        <w:numId w:val="0"/>
      </w:numPr>
      <w:spacing w:before="240" w:after="120"/>
      <w:outlineLvl w:val="0"/>
    </w:pPr>
    <w:rPr>
      <w:rFonts w:ascii="Arial;Helvetica;sans-serif" w:hAnsi="Arial;Helvetica;sans-serif" w:eastAsia="Arial;Helvetica;sans-serif" w:cs="Arial;Helvetica;sans-serif"/>
      <w:b/>
      <w:bCs/>
      <w:sz w:val="34"/>
      <w:szCs w:val="34"/>
      <w:lang w:val="de-DE"/>
    </w:rPr>
  </w:style>
  <w:style w:type="paragraph" w:styleId="Heading2">
    <w:name w:val="Heading 2"/>
    <w:basedOn w:val="Heading"/>
    <w:next w:val="TextBody"/>
    <w:qFormat/>
    <w:pPr>
      <w:numPr>
        <w:ilvl w:val="0"/>
        <w:numId w:val="0"/>
      </w:numPr>
      <w:spacing w:before="240" w:after="80"/>
      <w:ind w:left="0" w:right="240" w:hanging="0"/>
      <w:outlineLvl w:val="1"/>
    </w:pPr>
    <w:rPr>
      <w:rFonts w:ascii="Arial;Helvetica;sans-serif" w:hAnsi="Arial;Helvetica;sans-serif" w:eastAsia="Arial;Helvetica;sans-serif" w:cs="Arial;Helvetica;sans-serif"/>
      <w:b/>
      <w:bCs/>
      <w:sz w:val="24"/>
      <w:szCs w:val="24"/>
      <w:lang w:val="de-D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  <w:lang w:val="de-DE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FreeSans"/>
      <w:lang w:val="de-DE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  <w:lang w:val="de-DE"/>
    </w:rPr>
  </w:style>
  <w:style w:type="paragraph" w:styleId="Index">
    <w:name w:val="Index"/>
    <w:basedOn w:val="Normal"/>
    <w:qFormat/>
    <w:pPr>
      <w:suppressLineNumbers/>
    </w:pPr>
    <w:rPr>
      <w:rFonts w:cs="FreeSans"/>
      <w:lang w:val="de-DE"/>
    </w:rPr>
  </w:style>
  <w:style w:type="paragraph" w:styleId="TableContents">
    <w:name w:val="Table Contents"/>
    <w:basedOn w:val="Normal"/>
    <w:qFormat/>
    <w:pPr>
      <w:widowControl w:val="false"/>
      <w:suppressLineNumbers/>
      <w:jc w:val="left"/>
    </w:pPr>
    <w:rPr/>
  </w:style>
  <w:style w:type="paragraph" w:styleId="TableHeading">
    <w:name w:val="Table Heading"/>
    <w:basedOn w:val="TableContents"/>
    <w:qFormat/>
    <w:pPr>
      <w:suppressLineNumbers/>
      <w:jc w:val="left"/>
    </w:pPr>
    <w:rPr>
      <w:b/>
      <w:bCs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1</Pages>
  <Words>138</Words>
  <Characters>812</Characters>
  <CharactersWithSpaces>925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Bezahlte Bestellung erstatten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